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01A51">
      <w:pPr>
        <w:tabs>
          <w:tab w:val="left" w:pos="1862"/>
        </w:tabs>
        <w:spacing w:line="560" w:lineRule="exact"/>
        <w:ind w:left="2420" w:hanging="2429" w:hangingChars="550"/>
        <w:rPr>
          <w:rFonts w:hint="eastAsia" w:ascii="宋体" w:hAnsi="宋体" w:eastAsia="宋体" w:cs="宋体"/>
          <w:b/>
          <w:bCs/>
          <w:sz w:val="44"/>
          <w:szCs w:val="44"/>
          <w:lang w:val="zh-CN"/>
        </w:rPr>
      </w:pPr>
      <w:bookmarkStart w:id="0" w:name="_GoBack"/>
      <w:bookmarkEnd w:id="0"/>
      <w:r>
        <w:rPr>
          <w:rFonts w:hint="eastAsia" w:ascii="宋体" w:hAnsi="宋体" w:eastAsia="宋体" w:cs="宋体"/>
          <w:b/>
          <w:bCs/>
          <w:sz w:val="44"/>
          <w:szCs w:val="44"/>
          <w:lang w:val="en-US" w:eastAsia="zh-CN"/>
        </w:rPr>
        <w:t>51.</w:t>
      </w:r>
      <w:r>
        <w:rPr>
          <w:rFonts w:hint="eastAsia" w:ascii="宋体" w:hAnsi="宋体" w:eastAsia="宋体" w:cs="宋体"/>
          <w:b/>
          <w:bCs/>
          <w:sz w:val="44"/>
          <w:szCs w:val="44"/>
          <w:lang w:val="zh-CN"/>
        </w:rPr>
        <w:t>占用、拆除、改动、迁移城市照明设施批准事中事后监管细则</w:t>
      </w:r>
    </w:p>
    <w:p w14:paraId="459FEEAB">
      <w:pPr>
        <w:tabs>
          <w:tab w:val="left" w:pos="1862"/>
        </w:tabs>
        <w:spacing w:line="560" w:lineRule="exact"/>
        <w:ind w:firstLine="640" w:firstLineChars="200"/>
        <w:rPr>
          <w:rFonts w:hint="eastAsia" w:ascii="仿宋" w:hAnsi="仿宋" w:eastAsia="仿宋" w:cs="仿宋_GB2312"/>
          <w:sz w:val="32"/>
          <w:szCs w:val="32"/>
          <w:lang w:val="zh-CN"/>
        </w:rPr>
      </w:pPr>
    </w:p>
    <w:p w14:paraId="33E665E1">
      <w:pPr>
        <w:tabs>
          <w:tab w:val="left" w:pos="1862"/>
        </w:tabs>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lang w:val="zh-CN"/>
        </w:rPr>
        <w:t>为深入推进简政放权、放管结合、优化服务，加强占用、拆除、改动、迁移城市照明设施管理服务工作，规范行政行为，根据相关法律法规和《安徽省住房和城乡建设厅行政权力运行监管细则》</w:t>
      </w:r>
      <w:r>
        <w:rPr>
          <w:rFonts w:hint="eastAsia" w:ascii="仿宋" w:hAnsi="仿宋" w:eastAsia="仿宋"/>
          <w:sz w:val="32"/>
          <w:szCs w:val="32"/>
          <w:lang w:val="zh-CN"/>
        </w:rPr>
        <w:t>，制定本监管细则。</w:t>
      </w:r>
    </w:p>
    <w:p w14:paraId="48B1E451">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51</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，项目名称：占用、拆除、改动、迁移城市照明设施批准。</w:t>
      </w:r>
    </w:p>
    <w:p w14:paraId="799082AD">
      <w:pPr>
        <w:spacing w:line="560" w:lineRule="exact"/>
        <w:ind w:firstLine="645"/>
        <w:rPr>
          <w:rFonts w:hint="eastAsia" w:ascii="黑体" w:hAnsi="黑体" w:eastAsia="黑体" w:cs="黑体"/>
          <w:sz w:val="32"/>
          <w:szCs w:val="32"/>
          <w:highlight w:val="yellow"/>
        </w:rPr>
      </w:pPr>
      <w:r>
        <w:rPr>
          <w:rFonts w:hint="eastAsia" w:ascii="黑体" w:hAnsi="黑体" w:eastAsia="黑体" w:cs="黑体"/>
          <w:sz w:val="32"/>
          <w:szCs w:val="32"/>
        </w:rPr>
        <w:t>一、基本原则</w:t>
      </w:r>
    </w:p>
    <w:p w14:paraId="45F585CC">
      <w:pPr>
        <w:spacing w:line="560" w:lineRule="exact"/>
        <w:ind w:firstLine="640" w:firstLineChars="200"/>
        <w:rPr>
          <w:rFonts w:ascii="仿宋" w:hAnsi="仿宋" w:eastAsia="仿宋"/>
          <w:sz w:val="32"/>
          <w:szCs w:val="32"/>
        </w:rPr>
      </w:pPr>
      <w:r>
        <w:rPr>
          <w:rFonts w:hint="eastAsia" w:ascii="仿宋" w:hAnsi="仿宋" w:eastAsia="仿宋"/>
          <w:sz w:val="32"/>
          <w:szCs w:val="32"/>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731B3F85">
      <w:pPr>
        <w:spacing w:line="560" w:lineRule="exact"/>
        <w:ind w:firstLine="640" w:firstLineChars="200"/>
        <w:rPr>
          <w:rFonts w:ascii="仿宋" w:hAnsi="仿宋" w:eastAsia="仿宋"/>
          <w:sz w:val="32"/>
          <w:szCs w:val="32"/>
        </w:rPr>
      </w:pPr>
      <w:r>
        <w:rPr>
          <w:rFonts w:hint="eastAsia" w:ascii="仿宋" w:hAnsi="仿宋" w:eastAsia="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24BE8F3A">
      <w:pPr>
        <w:spacing w:line="560" w:lineRule="exact"/>
        <w:ind w:firstLine="645"/>
        <w:rPr>
          <w:rFonts w:hint="eastAsia" w:ascii="黑体" w:hAnsi="黑体" w:eastAsia="黑体" w:cs="黑体"/>
          <w:sz w:val="32"/>
          <w:szCs w:val="32"/>
        </w:rPr>
      </w:pPr>
      <w:r>
        <w:rPr>
          <w:rFonts w:hint="eastAsia" w:ascii="黑体" w:hAnsi="黑体" w:eastAsia="黑体" w:cs="黑体"/>
          <w:sz w:val="32"/>
          <w:szCs w:val="32"/>
        </w:rPr>
        <w:t>二、事中监管</w:t>
      </w:r>
    </w:p>
    <w:p w14:paraId="751205F6">
      <w:pPr>
        <w:spacing w:line="560" w:lineRule="exact"/>
        <w:ind w:left="640"/>
        <w:rPr>
          <w:rFonts w:ascii="仿宋" w:hAnsi="仿宋" w:eastAsia="仿宋"/>
          <w:sz w:val="32"/>
          <w:szCs w:val="32"/>
        </w:rPr>
      </w:pPr>
      <w:r>
        <w:rPr>
          <w:rFonts w:hint="eastAsia" w:ascii="仿宋" w:hAnsi="仿宋" w:eastAsia="仿宋"/>
          <w:sz w:val="32"/>
          <w:szCs w:val="32"/>
        </w:rPr>
        <w:t>（一）监管任务</w:t>
      </w:r>
    </w:p>
    <w:p w14:paraId="654E5DBF">
      <w:pPr>
        <w:tabs>
          <w:tab w:val="left" w:pos="1862"/>
        </w:tabs>
        <w:spacing w:line="560" w:lineRule="exact"/>
        <w:ind w:firstLine="640" w:firstLineChars="200"/>
        <w:rPr>
          <w:rFonts w:ascii="仿宋" w:hAnsi="仿宋" w:eastAsia="仿宋"/>
          <w:sz w:val="32"/>
          <w:szCs w:val="32"/>
          <w:lang w:val="zh-CN"/>
        </w:rPr>
      </w:pPr>
      <w:r>
        <w:rPr>
          <w:rFonts w:hint="eastAsia" w:ascii="仿宋" w:hAnsi="仿宋" w:eastAsia="仿宋"/>
          <w:sz w:val="32"/>
          <w:szCs w:val="32"/>
        </w:rPr>
        <w:t>申报范围：县</w:t>
      </w:r>
      <w:r>
        <w:rPr>
          <w:rFonts w:hint="eastAsia" w:ascii="仿宋" w:hAnsi="仿宋" w:eastAsia="仿宋"/>
          <w:sz w:val="32"/>
          <w:szCs w:val="32"/>
          <w:lang w:val="zh-CN"/>
        </w:rPr>
        <w:t>住建局依照法律、法规等规定负责对全县范围内占用、拆除、改动、迁移城市照明设施批准事项事中事后监督管理，规范认定行为，纠正和查处违法行为。</w:t>
      </w:r>
    </w:p>
    <w:p w14:paraId="5A201D36">
      <w:pPr>
        <w:spacing w:line="520" w:lineRule="exact"/>
        <w:ind w:firstLine="630" w:firstLineChars="196"/>
        <w:jc w:val="left"/>
        <w:rPr>
          <w:rFonts w:ascii="仿宋" w:hAnsi="仿宋" w:eastAsia="仿宋" w:cs="仿宋_GB2312"/>
          <w:kern w:val="0"/>
          <w:sz w:val="32"/>
          <w:szCs w:val="32"/>
        </w:rPr>
      </w:pPr>
      <w:r>
        <w:rPr>
          <w:rFonts w:hint="eastAsia" w:ascii="仿宋" w:hAnsi="仿宋" w:eastAsia="仿宋" w:cs="仿宋_GB2312"/>
          <w:b/>
          <w:bCs/>
          <w:kern w:val="0"/>
          <w:sz w:val="32"/>
          <w:szCs w:val="32"/>
        </w:rPr>
        <w:t>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1032B1A9">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7DC7AEAB">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524A7975">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459FF418">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61395732">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12773CFC">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18A04B13">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027583A9">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23BB01A3">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61C06F4A">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35A48C3D">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咨询电话：0559-4512069。</w:t>
      </w:r>
    </w:p>
    <w:p w14:paraId="346F90CD">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（三）申请资料。主要包括：</w:t>
      </w:r>
    </w:p>
    <w:p w14:paraId="2A7053B7">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 xml:space="preserve"> 1、申请表</w:t>
      </w:r>
    </w:p>
    <w:p w14:paraId="48DC7339">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2、施工方案及图纸</w:t>
      </w:r>
    </w:p>
    <w:p w14:paraId="2BE76B2F">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3、中华人民共和国居民身份证</w:t>
      </w:r>
    </w:p>
    <w:p w14:paraId="0A8755FF">
      <w:pPr>
        <w:spacing w:line="560" w:lineRule="exact"/>
        <w:ind w:firstLine="645"/>
        <w:rPr>
          <w:rFonts w:hint="eastAsia" w:ascii="黑体" w:hAnsi="黑体" w:eastAsia="黑体" w:cs="黑体"/>
          <w:sz w:val="32"/>
          <w:szCs w:val="32"/>
          <w:lang w:val="zh-CN"/>
        </w:rPr>
      </w:pPr>
      <w:r>
        <w:rPr>
          <w:rFonts w:hint="eastAsia" w:ascii="黑体" w:hAnsi="黑体" w:eastAsia="黑体" w:cs="黑体"/>
          <w:sz w:val="32"/>
          <w:szCs w:val="32"/>
          <w:lang w:val="zh-CN"/>
        </w:rPr>
        <w:t>三、事后监管</w:t>
      </w:r>
    </w:p>
    <w:p w14:paraId="7C0E47F2">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（一）个人或组织发现工程参建各方责任主体在工程竣工验收过程中有违法违规现象，有权向祁门县住房和城乡建设局举报（举报电话：</w:t>
      </w:r>
      <w:r>
        <w:rPr>
          <w:rFonts w:ascii="仿宋" w:hAnsi="仿宋" w:eastAsia="仿宋"/>
          <w:sz w:val="32"/>
          <w:szCs w:val="32"/>
          <w:lang w:val="zh-CN"/>
        </w:rPr>
        <w:t>0559-</w:t>
      </w:r>
      <w:r>
        <w:rPr>
          <w:rFonts w:hint="eastAsia" w:ascii="仿宋" w:hAnsi="仿宋" w:eastAsia="仿宋"/>
          <w:sz w:val="32"/>
          <w:szCs w:val="32"/>
          <w:lang w:val="zh-CN"/>
        </w:rPr>
        <w:t>4</w:t>
      </w:r>
      <w:r>
        <w:rPr>
          <w:rFonts w:hint="eastAsia" w:ascii="仿宋" w:hAnsi="仿宋" w:eastAsia="仿宋"/>
          <w:sz w:val="32"/>
          <w:szCs w:val="32"/>
          <w:lang w:val="en-US" w:eastAsia="zh-CN"/>
        </w:rPr>
        <w:t>512045</w:t>
      </w:r>
      <w:r>
        <w:rPr>
          <w:rFonts w:hint="eastAsia" w:ascii="仿宋" w:hAnsi="仿宋" w:eastAsia="仿宋"/>
          <w:sz w:val="32"/>
          <w:szCs w:val="32"/>
          <w:lang w:val="zh-CN"/>
        </w:rPr>
        <w:t>），县住建局将及时核实、处理，并将核实、处理结果书面告知举报人。</w:t>
      </w:r>
    </w:p>
    <w:p w14:paraId="68310A8B">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（二）对项目竣工验收过程中发现的违法问题，符合立案条件的，及时立案查处。</w:t>
      </w:r>
    </w:p>
    <w:p w14:paraId="36ECD0B3">
      <w:pPr>
        <w:spacing w:line="560" w:lineRule="exact"/>
        <w:ind w:firstLine="800" w:firstLineChars="250"/>
        <w:rPr>
          <w:rFonts w:ascii="仿宋" w:hAnsi="仿宋" w:eastAsia="仿宋"/>
          <w:sz w:val="32"/>
          <w:szCs w:val="32"/>
          <w:lang w:val="zh-CN"/>
        </w:rPr>
      </w:pPr>
      <w:r>
        <w:rPr>
          <w:rFonts w:hint="eastAsia" w:ascii="仿宋" w:hAnsi="仿宋" w:eastAsia="仿宋"/>
          <w:sz w:val="32"/>
          <w:szCs w:val="32"/>
          <w:lang w:val="zh-CN"/>
        </w:rPr>
        <w:t>(四)对违法、违规行为记入不良行为记录，并纳入信用监管体系，</w:t>
      </w:r>
      <w:r>
        <w:rPr>
          <w:rFonts w:hint="eastAsia" w:ascii="仿宋" w:hAnsi="仿宋" w:eastAsia="仿宋"/>
          <w:color w:val="000000"/>
          <w:kern w:val="0"/>
          <w:sz w:val="32"/>
          <w:szCs w:val="32"/>
          <w:lang w:val="zh-CN"/>
        </w:rPr>
        <w:t>建立信用约束机制</w:t>
      </w:r>
      <w:r>
        <w:rPr>
          <w:rFonts w:hint="eastAsia" w:ascii="仿宋" w:hAnsi="仿宋" w:eastAsia="仿宋"/>
          <w:sz w:val="32"/>
          <w:szCs w:val="32"/>
          <w:lang w:val="zh-CN"/>
        </w:rPr>
        <w:t>。</w:t>
      </w:r>
    </w:p>
    <w:p w14:paraId="0981269E">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（五）行政相对人和利害关系人对祁门县住房和城乡建设局在该许可工作中做出的具体行政决定不服的，可以自收到决定之日起</w:t>
      </w:r>
      <w:r>
        <w:rPr>
          <w:rFonts w:ascii="仿宋" w:hAnsi="仿宋" w:eastAsia="仿宋"/>
          <w:sz w:val="32"/>
          <w:szCs w:val="32"/>
          <w:lang w:val="zh-CN"/>
        </w:rPr>
        <w:t>60</w:t>
      </w:r>
      <w:r>
        <w:rPr>
          <w:rFonts w:hint="eastAsia" w:ascii="仿宋" w:hAnsi="仿宋" w:eastAsia="仿宋"/>
          <w:sz w:val="32"/>
          <w:szCs w:val="32"/>
          <w:lang w:val="zh-CN"/>
        </w:rPr>
        <w:t>日内向祁门县人民政府或者市住建局申请行政复议，也可以于</w:t>
      </w:r>
      <w:r>
        <w:rPr>
          <w:rFonts w:ascii="仿宋" w:hAnsi="仿宋" w:eastAsia="仿宋"/>
          <w:sz w:val="32"/>
          <w:szCs w:val="32"/>
          <w:lang w:val="zh-CN"/>
        </w:rPr>
        <w:t>6</w:t>
      </w:r>
      <w:r>
        <w:rPr>
          <w:rFonts w:hint="eastAsia" w:ascii="仿宋" w:hAnsi="仿宋" w:eastAsia="仿宋"/>
          <w:sz w:val="32"/>
          <w:szCs w:val="32"/>
          <w:lang w:val="zh-CN"/>
        </w:rPr>
        <w:t>个月内依法向人民法院提起行政诉讼。行政复议或者行政诉讼期间，行政决定不停在执行。</w:t>
      </w:r>
    </w:p>
    <w:p w14:paraId="1A1D2FB0">
      <w:pPr>
        <w:spacing w:line="560" w:lineRule="exact"/>
        <w:ind w:firstLine="645"/>
        <w:rPr>
          <w:rFonts w:hint="eastAsia" w:ascii="黑体" w:hAnsi="黑体" w:eastAsia="黑体" w:cs="黑体"/>
          <w:sz w:val="32"/>
          <w:szCs w:val="32"/>
          <w:lang w:val="zh-CN"/>
        </w:rPr>
      </w:pPr>
      <w:r>
        <w:rPr>
          <w:rFonts w:hint="eastAsia" w:ascii="黑体" w:hAnsi="黑体" w:eastAsia="黑体" w:cs="黑体"/>
          <w:sz w:val="32"/>
          <w:szCs w:val="32"/>
          <w:lang w:val="zh-CN"/>
        </w:rPr>
        <w:t>四、责任追溯</w:t>
      </w:r>
    </w:p>
    <w:p w14:paraId="796D9075">
      <w:pPr>
        <w:spacing w:line="560" w:lineRule="exact"/>
        <w:ind w:firstLine="640" w:firstLineChars="200"/>
        <w:rPr>
          <w:rFonts w:ascii="仿宋" w:hAnsi="仿宋" w:eastAsia="仿宋" w:cs="黑体"/>
          <w:sz w:val="32"/>
          <w:szCs w:val="32"/>
        </w:rPr>
      </w:pPr>
      <w:r>
        <w:rPr>
          <w:rFonts w:hint="eastAsia" w:ascii="仿宋" w:hAnsi="仿宋" w:eastAsia="仿宋"/>
          <w:sz w:val="32"/>
          <w:szCs w:val="32"/>
          <w:lang w:val="zh-CN"/>
        </w:rPr>
        <w:t>（一）加强层级监督。祁门县住房和城乡建设局对相关股室是否履行监管责任进行监督问责；对日常监管中发现的问题是否依法处理，是否存在不作为、乱作为等进行监督问责；对上级机关交办的案件是否认真调查并按时报告调查结果进行监督问责。</w:t>
      </w:r>
    </w:p>
    <w:p w14:paraId="073AB182">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加强人员监督。对不符合竣工验收条件的项目给予竣工验收通过；或者对符合竣工验收通过条件的单位不给予竣工验收通过；或者超越法定职权、超过法定期限、不按法定程序给予核准决定的，对直接负责的主管人员和其他直接责任人员依法给予处分，构成犯罪的，依法追究刑事责任。祁门县住房和城乡建设局加强人员监督，重点对监管人员是否定期赴现场检查、是否严格执行监管措施、是否认真填报检查事项进行监督问责。</w:t>
      </w:r>
    </w:p>
    <w:p w14:paraId="69465586">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（三）加强社会监督。个人或组织发现祁门县住房和城乡建设局负责核准的主管人员和工作人员在</w:t>
      </w:r>
      <w:r>
        <w:rPr>
          <w:rFonts w:hint="eastAsia" w:ascii="仿宋" w:hAnsi="仿宋" w:eastAsia="仿宋" w:cs="仿宋_GB2312"/>
          <w:color w:val="000000"/>
          <w:kern w:val="0"/>
          <w:sz w:val="32"/>
          <w:szCs w:val="32"/>
        </w:rPr>
        <w:t>占用、拆除、改动、迁移城市照明设施批准</w:t>
      </w:r>
      <w:r>
        <w:rPr>
          <w:rFonts w:hint="eastAsia" w:ascii="仿宋" w:hAnsi="仿宋" w:eastAsia="仿宋"/>
          <w:sz w:val="32"/>
          <w:szCs w:val="32"/>
          <w:lang w:val="zh-CN"/>
        </w:rPr>
        <w:t>监督活动中有违法违规现象，有权向祁门县住房和城乡建设局纪检组举报（举报电话：</w:t>
      </w:r>
      <w:r>
        <w:rPr>
          <w:rFonts w:ascii="仿宋" w:hAnsi="仿宋" w:eastAsia="仿宋"/>
          <w:sz w:val="32"/>
          <w:szCs w:val="32"/>
          <w:lang w:val="zh-CN"/>
        </w:rPr>
        <w:t>0559-</w:t>
      </w:r>
      <w:r>
        <w:rPr>
          <w:rFonts w:hint="eastAsia" w:ascii="仿宋" w:hAnsi="仿宋" w:eastAsia="仿宋"/>
          <w:sz w:val="32"/>
          <w:szCs w:val="32"/>
          <w:lang w:val="zh-CN"/>
        </w:rPr>
        <w:t>451</w:t>
      </w:r>
      <w:r>
        <w:rPr>
          <w:rFonts w:hint="eastAsia" w:ascii="仿宋" w:hAnsi="仿宋" w:eastAsia="仿宋"/>
          <w:sz w:val="32"/>
          <w:szCs w:val="32"/>
          <w:lang w:val="en-US" w:eastAsia="zh-CN"/>
        </w:rPr>
        <w:t>2045</w:t>
      </w:r>
      <w:r>
        <w:rPr>
          <w:rFonts w:hint="eastAsia" w:ascii="仿宋" w:hAnsi="仿宋" w:eastAsia="仿宋"/>
          <w:sz w:val="32"/>
          <w:szCs w:val="32"/>
          <w:lang w:val="zh-CN"/>
        </w:rPr>
        <w:t>），县住建局将及时核实、处理，并将核实、处理结果书面告知举报人。</w:t>
      </w:r>
    </w:p>
    <w:p w14:paraId="0CFC187E">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四）建立责任追究机制。监管责任追究实行过错责任追究，根据过错责任的大小实施相应的追究方式。包括：责令改正、责令做出书面检查、给予通报批评、调离执法岗位或者吊销执法证件、停职、给予行政处分等；涉嫌犯罪的，移交司法机关处理。</w:t>
      </w:r>
    </w:p>
    <w:p w14:paraId="3C05D42E">
      <w:pPr>
        <w:spacing w:line="560" w:lineRule="exact"/>
        <w:ind w:firstLine="645"/>
        <w:rPr>
          <w:rFonts w:hint="eastAsia" w:ascii="黑体" w:hAnsi="黑体" w:eastAsia="黑体" w:cs="黑体"/>
          <w:sz w:val="32"/>
          <w:szCs w:val="32"/>
          <w:lang w:val="zh-CN"/>
        </w:rPr>
      </w:pPr>
      <w:r>
        <w:rPr>
          <w:rFonts w:hint="eastAsia" w:ascii="黑体" w:hAnsi="黑体" w:eastAsia="黑体" w:cs="黑体"/>
          <w:sz w:val="32"/>
          <w:szCs w:val="32"/>
          <w:lang w:val="zh-CN"/>
        </w:rPr>
        <w:t>五、保障措施</w:t>
      </w:r>
    </w:p>
    <w:p w14:paraId="73EE93B2">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（一）祁门县住房和城乡建设局要高度重视</w:t>
      </w:r>
      <w:r>
        <w:rPr>
          <w:rFonts w:hint="eastAsia" w:ascii="仿宋" w:hAnsi="仿宋" w:eastAsia="仿宋" w:cs="仿宋_GB2312"/>
          <w:color w:val="000000"/>
          <w:kern w:val="0"/>
          <w:sz w:val="32"/>
          <w:szCs w:val="32"/>
        </w:rPr>
        <w:t>占用、拆除、改动、迁移城市照明设施批准</w:t>
      </w:r>
      <w:r>
        <w:rPr>
          <w:rFonts w:hint="eastAsia" w:ascii="仿宋" w:hAnsi="仿宋" w:eastAsia="仿宋"/>
          <w:sz w:val="32"/>
          <w:szCs w:val="32"/>
          <w:lang w:val="zh-CN"/>
        </w:rPr>
        <w:t>事中事后监管工作，本着“公平、公正、公开、透明”的原则，强化组织领导，完善监管办法，落实保障措施，严肃查处问题，确保事中事后监管工作有序进行。</w:t>
      </w:r>
    </w:p>
    <w:p w14:paraId="133E7210">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（二）理清权责边界。针对权力交叉、监管空白等问题，根据“属地管理”原则，明确权力范围和责任范围，建立上下联动监管机制。</w:t>
      </w:r>
    </w:p>
    <w:p w14:paraId="1ABD3B44">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（三）加强人员培训。祁门县住房和城乡建设局应当加强对行政执法人员法律、法规、标准和专业知识与执法能力培训，并适时组织考核。不具备相应知识和能力的，不得从事建筑业行政执法工作。</w:t>
      </w:r>
    </w:p>
    <w:p w14:paraId="438CA80B">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（四）加强政策宣传。运用多种方式宣传建设工程竣工验收管理规定的法律法规，提升管理人员的公仆意识。</w:t>
      </w:r>
    </w:p>
    <w:p w14:paraId="125CE041">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六、主要依据</w:t>
      </w:r>
    </w:p>
    <w:p w14:paraId="1814F332">
      <w:pPr>
        <w:spacing w:line="560" w:lineRule="exact"/>
        <w:ind w:firstLine="480" w:firstLineChars="150"/>
        <w:rPr>
          <w:rFonts w:hint="eastAsia" w:ascii="仿宋" w:hAnsi="仿宋" w:eastAsia="仿宋"/>
          <w:sz w:val="32"/>
          <w:szCs w:val="32"/>
          <w:lang w:val="zh-CN"/>
        </w:rPr>
      </w:pPr>
      <w:r>
        <w:rPr>
          <w:rFonts w:hint="eastAsia" w:ascii="仿宋" w:hAnsi="仿宋" w:eastAsia="仿宋"/>
          <w:sz w:val="32"/>
          <w:szCs w:val="32"/>
          <w:lang w:val="zh-CN"/>
        </w:rPr>
        <w:t>一、《安徽省市政设施管理条例》；</w:t>
      </w:r>
    </w:p>
    <w:p w14:paraId="605AC816">
      <w:pPr>
        <w:spacing w:line="560" w:lineRule="exact"/>
        <w:ind w:firstLine="480" w:firstLineChars="150"/>
        <w:rPr>
          <w:rFonts w:hint="eastAsia" w:ascii="仿宋" w:hAnsi="仿宋" w:eastAsia="仿宋"/>
          <w:sz w:val="32"/>
          <w:szCs w:val="32"/>
          <w:lang w:val="zh-CN"/>
        </w:rPr>
      </w:pPr>
      <w:r>
        <w:rPr>
          <w:rFonts w:hint="eastAsia" w:ascii="仿宋" w:hAnsi="仿宋" w:eastAsia="仿宋"/>
          <w:sz w:val="32"/>
          <w:szCs w:val="32"/>
          <w:lang w:val="zh-CN"/>
        </w:rPr>
        <w:t>二、《安徽省人民政府关于赋予乡镇街道部分县级审批执法权限的决定》（皖政〔2022〕112号）</w:t>
      </w:r>
    </w:p>
    <w:p w14:paraId="1098A7C5">
      <w:pPr>
        <w:spacing w:line="560" w:lineRule="exact"/>
        <w:ind w:firstLine="3520" w:firstLineChars="1100"/>
        <w:rPr>
          <w:rFonts w:ascii="仿宋" w:hAnsi="仿宋" w:eastAsia="仿宋"/>
          <w:sz w:val="32"/>
          <w:szCs w:val="32"/>
          <w:lang w:val="zh-CN"/>
        </w:rPr>
      </w:pPr>
      <w:r>
        <w:rPr>
          <w:rFonts w:hint="eastAsia" w:ascii="仿宋" w:hAnsi="仿宋" w:eastAsia="仿宋"/>
          <w:sz w:val="32"/>
          <w:szCs w:val="32"/>
          <w:lang w:val="zh-CN"/>
        </w:rPr>
        <w:t>.</w:t>
      </w:r>
    </w:p>
    <w:p w14:paraId="6F6D5277">
      <w:pPr>
        <w:tabs>
          <w:tab w:val="left" w:pos="1862"/>
        </w:tabs>
        <w:spacing w:line="560" w:lineRule="exact"/>
        <w:rPr>
          <w:rFonts w:ascii="仿宋" w:hAnsi="仿宋" w:eastAsia="仿宋"/>
          <w:sz w:val="32"/>
          <w:szCs w:val="32"/>
          <w:lang w:val="zh-CN"/>
        </w:rPr>
      </w:pPr>
    </w:p>
    <w:p w14:paraId="0FA3AFEE">
      <w:pPr>
        <w:spacing w:line="560" w:lineRule="exact"/>
        <w:jc w:val="center"/>
        <w:rPr>
          <w:rFonts w:ascii="方正小标宋_GBK" w:hAnsi="宋体" w:eastAsia="方正小标宋_GBK"/>
          <w:bCs/>
          <w:sz w:val="44"/>
          <w:szCs w:val="44"/>
        </w:rPr>
      </w:pPr>
    </w:p>
    <w:p w14:paraId="18AA9A6E">
      <w:pPr>
        <w:spacing w:line="560" w:lineRule="exact"/>
        <w:jc w:val="center"/>
        <w:rPr>
          <w:rFonts w:ascii="方正小标宋_GBK" w:hAnsi="宋体" w:eastAsia="方正小标宋_GBK"/>
          <w:bCs/>
          <w:sz w:val="44"/>
          <w:szCs w:val="44"/>
        </w:rPr>
      </w:pPr>
    </w:p>
    <w:p w14:paraId="7DB777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0DA35AE7"/>
    <w:rsid w:val="0DA35AE7"/>
    <w:rsid w:val="0FF90DAA"/>
    <w:rsid w:val="637F4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2204</Words>
  <Characters>2295</Characters>
  <Lines>0</Lines>
  <Paragraphs>0</Paragraphs>
  <TotalTime>0</TotalTime>
  <ScaleCrop>false</ScaleCrop>
  <LinksUpToDate>false</LinksUpToDate>
  <CharactersWithSpaces>2296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2024-01-19T01:50:00Z</dcterms:created>
  <dc:creator>沉默的小布芬</dc:creator>
  <cp:lastModifiedBy>沉默的小布芬</cp:lastModifiedBy>
  <dcterms:modified xsi:type="dcterms:W3CDTF">2024-08-01T07:03:57Z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730D7C00AD0C449AB50F4A57ECDB4A2A_11</vt:lpwstr>
  </property>
</Properties>
</file>